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(equipo no definitivo)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2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(equipo definitivo)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cuenta con los montos definitivos de remuneración para cada cargo que conforma el equipo creativo, técnico y artístico.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equipo creativo, técnico y artístico cumple con lo establecido en la normativa vigente.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sz w:val="18"/>
        <w:szCs w:val="18"/>
        <w:rtl w:val="0"/>
      </w:rPr>
      <w:t xml:space="preserve">Referencia de Declaración Jurada para equipo definitivo en la siguiente página.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704850</wp:posOffset>
          </wp:positionV>
          <wp:extent cx="7581900" cy="1074420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1900" cy="107442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-938212</wp:posOffset>
          </wp:positionH>
          <wp:positionV relativeFrom="paragraph">
            <wp:posOffset>-457199</wp:posOffset>
          </wp:positionV>
          <wp:extent cx="7596188" cy="1079182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6188" cy="107918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-919162</wp:posOffset>
          </wp:positionH>
          <wp:positionV relativeFrom="paragraph">
            <wp:posOffset>-457199</wp:posOffset>
          </wp:positionV>
          <wp:extent cx="7577138" cy="106965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8EIOOUsh0UX8ZEa882XC0cxiwQ==">CgMxLjA4AHIhMWVyS0QySi1FVm9HSHJNLTFLam1uZzY5UW9HNjhMbXpP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